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34" w:rsidRDefault="00491434">
      <w:pPr>
        <w:rPr>
          <w:sz w:val="32"/>
          <w:szCs w:val="32"/>
        </w:rPr>
      </w:pPr>
      <w:r>
        <w:rPr>
          <w:sz w:val="32"/>
          <w:szCs w:val="32"/>
        </w:rPr>
        <w:t>Early Romantics Quickwrite:</w:t>
      </w:r>
    </w:p>
    <w:p w:rsidR="00491434" w:rsidRDefault="00491434">
      <w:pPr>
        <w:rPr>
          <w:sz w:val="32"/>
          <w:szCs w:val="32"/>
        </w:rPr>
      </w:pPr>
    </w:p>
    <w:p w:rsidR="00491434" w:rsidRDefault="00491434">
      <w:pPr>
        <w:rPr>
          <w:sz w:val="32"/>
          <w:szCs w:val="32"/>
        </w:rPr>
      </w:pPr>
      <w:r w:rsidRPr="00491434">
        <w:rPr>
          <w:sz w:val="32"/>
          <w:szCs w:val="32"/>
        </w:rPr>
        <w:t>Use evidence from</w:t>
      </w:r>
      <w:r>
        <w:rPr>
          <w:sz w:val="32"/>
          <w:szCs w:val="32"/>
        </w:rPr>
        <w:t>:</w:t>
      </w:r>
    </w:p>
    <w:p w:rsidR="00491434" w:rsidRDefault="00491434" w:rsidP="004914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1434">
        <w:rPr>
          <w:sz w:val="32"/>
          <w:szCs w:val="32"/>
        </w:rPr>
        <w:t>“</w:t>
      </w:r>
      <w:proofErr w:type="spellStart"/>
      <w:r w:rsidRPr="00491434">
        <w:rPr>
          <w:sz w:val="32"/>
          <w:szCs w:val="32"/>
        </w:rPr>
        <w:t>Thanatopsis</w:t>
      </w:r>
      <w:proofErr w:type="spellEnd"/>
      <w:r w:rsidRPr="00491434">
        <w:rPr>
          <w:sz w:val="32"/>
          <w:szCs w:val="32"/>
        </w:rPr>
        <w:t>” (Bryant, p. 3</w:t>
      </w:r>
      <w:r>
        <w:rPr>
          <w:sz w:val="32"/>
          <w:szCs w:val="32"/>
        </w:rPr>
        <w:t>30)</w:t>
      </w:r>
    </w:p>
    <w:p w:rsidR="00491434" w:rsidRDefault="00491434" w:rsidP="004914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1434">
        <w:rPr>
          <w:sz w:val="32"/>
          <w:szCs w:val="32"/>
        </w:rPr>
        <w:t>“The Devil and To</w:t>
      </w:r>
      <w:r>
        <w:rPr>
          <w:sz w:val="32"/>
          <w:szCs w:val="32"/>
        </w:rPr>
        <w:t>m Walker” (Irving, p. 312)</w:t>
      </w:r>
    </w:p>
    <w:p w:rsidR="00491434" w:rsidRDefault="00491434" w:rsidP="004914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Deerslayer</w:t>
      </w:r>
      <w:proofErr w:type="spellEnd"/>
      <w:r>
        <w:rPr>
          <w:sz w:val="32"/>
          <w:szCs w:val="32"/>
        </w:rPr>
        <w:t>” (handout)</w:t>
      </w:r>
    </w:p>
    <w:p w:rsidR="00491434" w:rsidRDefault="00491434" w:rsidP="00491434">
      <w:pPr>
        <w:rPr>
          <w:sz w:val="32"/>
          <w:szCs w:val="32"/>
        </w:rPr>
      </w:pPr>
    </w:p>
    <w:p w:rsidR="00121339" w:rsidRPr="00491434" w:rsidRDefault="00491434" w:rsidP="00491434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Pr="00491434">
        <w:rPr>
          <w:sz w:val="32"/>
          <w:szCs w:val="32"/>
        </w:rPr>
        <w:t xml:space="preserve">onnect each piece to an aspect of Romanticism (nature, imagination, and emotion). There should be at least three solid pieces of appropriate </w:t>
      </w:r>
      <w:r>
        <w:rPr>
          <w:sz w:val="32"/>
          <w:szCs w:val="32"/>
        </w:rPr>
        <w:t xml:space="preserve">text </w:t>
      </w:r>
      <w:r w:rsidRPr="00491434">
        <w:rPr>
          <w:sz w:val="32"/>
          <w:szCs w:val="32"/>
        </w:rPr>
        <w:t>support from each resource.</w:t>
      </w:r>
      <w:bookmarkStart w:id="0" w:name="_GoBack"/>
      <w:bookmarkEnd w:id="0"/>
    </w:p>
    <w:sectPr w:rsidR="00121339" w:rsidRPr="00491434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6F1E"/>
    <w:multiLevelType w:val="hybridMultilevel"/>
    <w:tmpl w:val="526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34"/>
    <w:rsid w:val="00121339"/>
    <w:rsid w:val="00491434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Macintosh Word</Application>
  <DocSecurity>0</DocSecurity>
  <Lines>2</Lines>
  <Paragraphs>1</Paragraphs>
  <ScaleCrop>false</ScaleCrop>
  <Company>CCPS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2014-10-07T18:44:00Z</dcterms:created>
  <dcterms:modified xsi:type="dcterms:W3CDTF">2014-10-07T18:49:00Z</dcterms:modified>
</cp:coreProperties>
</file>